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pBdr/>
        <w:spacing w:lineRule="auto" w:line="360"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Федеральным законом от 27 июля 2004 № 79-ФЗ «О государственной гражданской службе Российской Федерации» и Законом Республики Хакасия от 26.02.2006 №9-ЗРХ «О государственных должностях Республики Хакасия и государственной гражданской службе Республики Хакасия» установлены ограничения, связанные с гражданской службой: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признание гражданина решением суда недееспособным или ограниченно дееспособным;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выход из гражданства Российской Федерации или приобретения гражданства другого государства;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представление подложных документов или заведомо ложных сведений при поступлении на гражданскую службу;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непредставления установленных федеральным законом и законом Республики Хакасия сведений или представления заведомо ложных сведений о доходах, об имуществе и обязательствах имущественного характера.</w:t>
      </w:r>
    </w:p>
    <w:p>
      <w:pPr>
        <w:pStyle w:val="Style18"/>
        <w:widowControl/>
        <w:pBdr/>
        <w:spacing w:lineRule="auto" w:line="360"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Иные ограничения, связанные с поступлением на гражданскую службу и ее прохождением, а также ответственность за несоблюдение ограничений устанавливаются федеральными законами.</w:t>
      </w:r>
    </w:p>
    <w:p>
      <w:pPr>
        <w:pStyle w:val="Style18"/>
        <w:widowControl/>
        <w:pBdr/>
        <w:spacing w:lineRule="auto" w:line="360"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федеральным законодательством.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>
      <w:pPr>
        <w:pStyle w:val="Style18"/>
        <w:widowControl/>
        <w:pBdr/>
        <w:spacing w:lineRule="auto" w:line="360"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утверждено Положение о конкурсе на замещение вакантной должности государственной гражданской службы Российской Федерации, в котором определен прядок проведения конкурсов.</w:t>
      </w:r>
    </w:p>
    <w:p>
      <w:pPr>
        <w:pStyle w:val="Style18"/>
        <w:widowControl/>
        <w:pBdr/>
        <w:spacing w:lineRule="auto" w:line="360"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>
      <w:pPr>
        <w:pStyle w:val="Style18"/>
        <w:widowControl/>
        <w:pBdr/>
        <w:spacing w:lineRule="auto" w:line="360" w:before="0" w:after="0"/>
        <w:ind w:left="0" w:right="0" w:hanging="0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объявления конкурса на замещение вакантной должности или конкурса на формирование кадрового резерва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гражданин Российской Федерации, изъявивший желание участвовать в конкурсе, представляет в кадровую службу Министерства культуры Республики Хакасия: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личное заявление;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собственноручно заполненную и подписанную анкету (утвержденную Распоряжением Правительства Российской Федерации от 26 мая 2005 г. № 667-р), с приложением фотографии 3х4 см;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копии документов о профессиональном образовании, (а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(по форме №001 – ГС/у, утвержденная приказом Минздравсоцразвития России от 14.12.2009 № 984н);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Style18"/>
        <w:widowControl/>
        <w:pBdr/>
        <w:spacing w:lineRule="auto" w:line="360" w:before="0" w:after="0"/>
        <w:ind w:left="0" w:right="0" w:hanging="0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Лицо, победившее в конкурсе на замещение вакантной должности государственной гражданской службы, обязано представить следующие документы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заявление с просьбой о поступлении на гражданскую службу и замещении должности гражданской службы;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собственноручно заполненную и подписанную анкету установленной формы с приложением двух фотографий 3х4 см;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паспорт;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трудовую книжку, за исключением случаев, когда профессиональная служебная (трудовая) деятельность осуществляется впервые;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страховое свидетельство государственного пенсионного страхования, за исключением случаев, когда служебная (трудовая) деятельность осуществляется впервые;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документы государственного образца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сведения о доходах, имуществе и обязательствах имущественного характера гражданского служащего, супруга (супруги) и несовершеннолетних детей.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6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>
      <w:pPr>
        <w:pStyle w:val="Style18"/>
        <w:widowControl/>
        <w:pBdr/>
        <w:spacing w:lineRule="auto" w:line="360" w:before="0" w:after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отдельных случаях с учетом условий прохождения гражданской службы, установленных законодательством Российской Федерации, при заключении служебного контракта может предусматриваться необходимость предъявления иных документов.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4</Pages>
  <Words>731</Words>
  <Characters>5545</Characters>
  <CharactersWithSpaces>6217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2016-09-14T02:47:47Z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