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01" w:rsidRPr="00BB6401" w:rsidRDefault="00BB6401" w:rsidP="00BB6401">
      <w:pPr>
        <w:pStyle w:val="ListParagraph"/>
        <w:spacing w:line="240" w:lineRule="auto"/>
        <w:ind w:left="0" w:firstLine="709"/>
        <w:jc w:val="center"/>
        <w:rPr>
          <w:rFonts w:ascii="Times New Roman" w:hAnsi="Times New Roman"/>
          <w:b/>
          <w:sz w:val="24"/>
          <w:szCs w:val="24"/>
        </w:rPr>
      </w:pPr>
      <w:r w:rsidRPr="00BB6401">
        <w:rPr>
          <w:rFonts w:ascii="Times New Roman" w:hAnsi="Times New Roman"/>
          <w:b/>
          <w:sz w:val="24"/>
          <w:szCs w:val="24"/>
        </w:rPr>
        <w:t>Методические рекомендации по отдельным вопросам учётно-</w:t>
      </w:r>
      <w:proofErr w:type="spellStart"/>
      <w:r w:rsidRPr="00BB6401">
        <w:rPr>
          <w:rFonts w:ascii="Times New Roman" w:hAnsi="Times New Roman"/>
          <w:b/>
          <w:sz w:val="24"/>
          <w:szCs w:val="24"/>
        </w:rPr>
        <w:t>хранительской</w:t>
      </w:r>
      <w:proofErr w:type="spellEnd"/>
      <w:r w:rsidRPr="00BB6401">
        <w:rPr>
          <w:rFonts w:ascii="Times New Roman" w:hAnsi="Times New Roman"/>
          <w:b/>
          <w:sz w:val="24"/>
          <w:szCs w:val="24"/>
        </w:rPr>
        <w:t xml:space="preserve"> деятельности в музеях.</w:t>
      </w:r>
    </w:p>
    <w:p w:rsidR="00BB6401" w:rsidRDefault="00BB6401" w:rsidP="00BB6401">
      <w:pPr>
        <w:pStyle w:val="ListParagraph"/>
        <w:numPr>
          <w:ilvl w:val="0"/>
          <w:numId w:val="2"/>
        </w:numPr>
        <w:spacing w:line="240" w:lineRule="auto"/>
        <w:jc w:val="both"/>
        <w:rPr>
          <w:rFonts w:ascii="Times New Roman" w:hAnsi="Times New Roman"/>
          <w:i/>
          <w:sz w:val="24"/>
          <w:szCs w:val="24"/>
        </w:rPr>
      </w:pPr>
      <w:r w:rsidRPr="00CC454D">
        <w:rPr>
          <w:rFonts w:ascii="Times New Roman" w:hAnsi="Times New Roman"/>
          <w:i/>
          <w:sz w:val="24"/>
          <w:szCs w:val="24"/>
        </w:rPr>
        <w:t xml:space="preserve">Письмо Министерства культуры Российской Федерации «О страховании музейных предметов» от 14.05. 2016 г № 165-01-39-ВА.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Этот документ разъясняет порядок страхования музейных предметов при их выдаче «от лица к лицу», </w:t>
      </w:r>
      <w:proofErr w:type="spellStart"/>
      <w:r>
        <w:rPr>
          <w:rFonts w:ascii="Times New Roman" w:hAnsi="Times New Roman"/>
          <w:sz w:val="24"/>
          <w:szCs w:val="24"/>
        </w:rPr>
        <w:t>т</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любых внешних выдачах, предусматривающих временный переход ответственности за состояние сохранности и безопасность музейных предметов к другому юридическому либо физическому лицу. Внимание, - если ранее требовалось страховать музейные предметы только при таких выдачах за рубежи Российской Федерации, то с мая 2016 года установлена необходимость страхования и при выдачах внутри Российской Федерации. При выдаче музейных предметов за рубеж страховой полис оформляется в любой резервной валюте. При таковых по России страховка оформляется в российских рублях. Допускается принцип страхования «от гвоздя до гвоздя», - страхуется только период максимального риска, например при выдаче на выставку период упаковки, транспортировки, распаковки и монтажа, - и в обратном порядке. Собственно период экспонирования, связанный с минимальным риском по сохранности и безопасности музейных предметов может не страховаться. Полномочия по определению страховой стоимости музейных предметов в государственных и муниципальных музеях, иных государственных и муниципальных организациях закреплены за ЭФЗК. В негосударственных музеях (кроме муниципальных) право определения страховой стоимости находится у собственника музейных предметов и музейных коллекций». Строго установлено, что страхование музейных предметов при выдаче, как в России, так и за рубеж, осуществляется только в отечественных страховых компаниях.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D93087">
        <w:rPr>
          <w:rFonts w:ascii="Times New Roman" w:hAnsi="Times New Roman"/>
          <w:i/>
          <w:sz w:val="24"/>
          <w:szCs w:val="24"/>
        </w:rPr>
        <w:t>Письмо Министерства культуры Российской Федерации «О порядке приёма государственных наград и документов к ним в постоянное пользование в государственные и муниципальные музеи» от 12.09. 2017 г. № 286-01.1-39-ВА</w:t>
      </w:r>
      <w:r>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Письмо разъясняет порядок приёма в фонды государственных и муниципальных музеев государственных наград и документов к ним. Важные моменты этого разъяснения:</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нет необходимости заручаться согласием на передачу государственной награды от всех прямых наследников награждённого</w:t>
      </w:r>
      <w:r w:rsidRPr="00AD178B">
        <w:rPr>
          <w:rFonts w:ascii="Times New Roman" w:hAnsi="Times New Roman"/>
          <w:sz w:val="24"/>
          <w:szCs w:val="24"/>
        </w:rPr>
        <w:t xml:space="preserve"> </w:t>
      </w:r>
      <w:r>
        <w:rPr>
          <w:rFonts w:ascii="Times New Roman" w:hAnsi="Times New Roman"/>
          <w:sz w:val="24"/>
          <w:szCs w:val="24"/>
        </w:rPr>
        <w:t>лица по закону, как это практиковалось ранее. Сдатчиком государственной награды может выступить любой гражданин, который её хранит</w:t>
      </w:r>
      <w:r w:rsidRPr="00AD178B">
        <w:rPr>
          <w:rFonts w:ascii="Times New Roman" w:hAnsi="Times New Roman"/>
          <w:sz w:val="24"/>
          <w:szCs w:val="24"/>
        </w:rPr>
        <w:t>;</w:t>
      </w:r>
    </w:p>
    <w:p w:rsidR="00BB6401" w:rsidRPr="00AD178B"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решающее слово по приёму государственной награды в постоянное пользование музея принадлежит Комиссии по государственным наградам при Президенте Российской Федерации. ЭФЗК музея готовит пакет документов с обоснованием приёма государственной награды в </w:t>
      </w:r>
      <w:proofErr w:type="gramStart"/>
      <w:r>
        <w:rPr>
          <w:rFonts w:ascii="Times New Roman" w:hAnsi="Times New Roman"/>
          <w:sz w:val="24"/>
          <w:szCs w:val="24"/>
        </w:rPr>
        <w:t>постоянное</w:t>
      </w:r>
      <w:proofErr w:type="gramEnd"/>
      <w:r>
        <w:rPr>
          <w:rFonts w:ascii="Times New Roman" w:hAnsi="Times New Roman"/>
          <w:sz w:val="24"/>
          <w:szCs w:val="24"/>
        </w:rPr>
        <w:t xml:space="preserve"> пользования музея для своего учредителя. Учредитель адресуется в Комиссию по государственным наградам при Президенте Российской Федерации от своего имени. </w:t>
      </w:r>
      <w:proofErr w:type="gramStart"/>
      <w:r>
        <w:rPr>
          <w:rFonts w:ascii="Times New Roman" w:hAnsi="Times New Roman"/>
          <w:sz w:val="24"/>
          <w:szCs w:val="24"/>
        </w:rPr>
        <w:t>Не следует направлять данный пакет документов через голову учредителя, непосредственно от музея</w:t>
      </w:r>
      <w:r w:rsidRPr="00AD178B">
        <w:rPr>
          <w:rFonts w:ascii="Times New Roman" w:hAnsi="Times New Roman"/>
          <w:sz w:val="24"/>
          <w:szCs w:val="24"/>
        </w:rPr>
        <w:t xml:space="preserve">; </w:t>
      </w:r>
      <w:proofErr w:type="gramEnd"/>
    </w:p>
    <w:p w:rsidR="00BB6401" w:rsidRPr="00AD178B" w:rsidRDefault="00BB6401" w:rsidP="00BB6401">
      <w:pPr>
        <w:pStyle w:val="ListParagraph"/>
        <w:spacing w:line="240" w:lineRule="auto"/>
        <w:ind w:left="0" w:firstLine="709"/>
        <w:jc w:val="both"/>
        <w:rPr>
          <w:rFonts w:ascii="Times New Roman" w:hAnsi="Times New Roman"/>
          <w:sz w:val="24"/>
          <w:szCs w:val="24"/>
        </w:rPr>
      </w:pPr>
      <w:proofErr w:type="gramStart"/>
      <w:r w:rsidRPr="00AD178B">
        <w:rPr>
          <w:rFonts w:ascii="Times New Roman" w:hAnsi="Times New Roman"/>
          <w:sz w:val="24"/>
          <w:szCs w:val="24"/>
        </w:rPr>
        <w:t>- отказ</w:t>
      </w:r>
      <w:r>
        <w:rPr>
          <w:rFonts w:ascii="Times New Roman" w:hAnsi="Times New Roman"/>
          <w:sz w:val="24"/>
          <w:szCs w:val="24"/>
        </w:rPr>
        <w:t xml:space="preserve"> Комиссии по государственным наградам при Президенте Российской Федерации в разрешении приёма государственной награды в постоянное пользования музея-заявителя влечёт за собой не возврат данной </w:t>
      </w:r>
      <w:proofErr w:type="spellStart"/>
      <w:r>
        <w:rPr>
          <w:rFonts w:ascii="Times New Roman" w:hAnsi="Times New Roman"/>
          <w:sz w:val="24"/>
          <w:szCs w:val="24"/>
        </w:rPr>
        <w:t>госнаграды</w:t>
      </w:r>
      <w:proofErr w:type="spellEnd"/>
      <w:r>
        <w:rPr>
          <w:rFonts w:ascii="Times New Roman" w:hAnsi="Times New Roman"/>
          <w:sz w:val="24"/>
          <w:szCs w:val="24"/>
        </w:rPr>
        <w:t xml:space="preserve"> сдатчику, а её направление на хранение в Управление Президента Российской Федерации по государственным наградам.</w:t>
      </w:r>
      <w:proofErr w:type="gramEnd"/>
      <w:r>
        <w:rPr>
          <w:rFonts w:ascii="Times New Roman" w:hAnsi="Times New Roman"/>
          <w:sz w:val="24"/>
          <w:szCs w:val="24"/>
        </w:rPr>
        <w:t xml:space="preserve"> Этот момент необходимо чётко разъяснять лицам, предлагающим передачу государственных наград в </w:t>
      </w:r>
      <w:proofErr w:type="gramStart"/>
      <w:r>
        <w:rPr>
          <w:rFonts w:ascii="Times New Roman" w:hAnsi="Times New Roman"/>
          <w:sz w:val="24"/>
          <w:szCs w:val="24"/>
        </w:rPr>
        <w:t>постоянное</w:t>
      </w:r>
      <w:proofErr w:type="gramEnd"/>
      <w:r>
        <w:rPr>
          <w:rFonts w:ascii="Times New Roman" w:hAnsi="Times New Roman"/>
          <w:sz w:val="24"/>
          <w:szCs w:val="24"/>
        </w:rPr>
        <w:t xml:space="preserve"> пользования музея до возбуждения ходатайства перед Комиссией по государственным наградам при Президенте Российской Федерации</w:t>
      </w:r>
      <w:r w:rsidRPr="00AD178B">
        <w:rPr>
          <w:rFonts w:ascii="Times New Roman" w:hAnsi="Times New Roman"/>
          <w:sz w:val="24"/>
          <w:szCs w:val="24"/>
        </w:rPr>
        <w:t>;</w:t>
      </w:r>
    </w:p>
    <w:p w:rsidR="00BB6401" w:rsidRDefault="00BB6401" w:rsidP="00BB6401">
      <w:pPr>
        <w:pStyle w:val="ListParagraph"/>
        <w:spacing w:line="240" w:lineRule="auto"/>
        <w:ind w:left="0" w:firstLine="709"/>
        <w:jc w:val="both"/>
        <w:rPr>
          <w:rFonts w:ascii="Times New Roman" w:hAnsi="Times New Roman"/>
          <w:sz w:val="24"/>
          <w:szCs w:val="24"/>
        </w:rPr>
      </w:pPr>
      <w:r w:rsidRPr="002C0AB3">
        <w:rPr>
          <w:rFonts w:ascii="Times New Roman" w:hAnsi="Times New Roman"/>
          <w:sz w:val="24"/>
          <w:szCs w:val="24"/>
        </w:rPr>
        <w:t xml:space="preserve">- </w:t>
      </w:r>
      <w:r>
        <w:rPr>
          <w:rFonts w:ascii="Times New Roman" w:hAnsi="Times New Roman"/>
          <w:sz w:val="24"/>
          <w:szCs w:val="24"/>
        </w:rPr>
        <w:t>в случае положительного решения Комиссии по государственным наградам при Президенте Российской Федерации музей заключает со сдатчиком государственной награды договор дарения либо договор пожертвования</w:t>
      </w:r>
      <w:r w:rsidRPr="002C0AB3">
        <w:rPr>
          <w:rFonts w:ascii="Times New Roman" w:hAnsi="Times New Roman"/>
          <w:sz w:val="24"/>
          <w:szCs w:val="24"/>
        </w:rPr>
        <w:t>;</w:t>
      </w:r>
    </w:p>
    <w:p w:rsidR="00BB6401" w:rsidRPr="00ED21F4"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если сдатчиком государственной награды выступает регион или поселение (например, желает передать в музей орден, которым был награждён регион или город), - к ходатайству в </w:t>
      </w:r>
      <w:r>
        <w:rPr>
          <w:rFonts w:ascii="Times New Roman" w:hAnsi="Times New Roman"/>
          <w:sz w:val="24"/>
          <w:szCs w:val="24"/>
        </w:rPr>
        <w:lastRenderedPageBreak/>
        <w:t xml:space="preserve">Комиссию по государственным наградам следует приложить распорядительный акт регионального правительства либо главы поселения, подтверждающий намерение передать данную </w:t>
      </w:r>
      <w:proofErr w:type="spellStart"/>
      <w:r>
        <w:rPr>
          <w:rFonts w:ascii="Times New Roman" w:hAnsi="Times New Roman"/>
          <w:sz w:val="24"/>
          <w:szCs w:val="24"/>
        </w:rPr>
        <w:t>госнаграду</w:t>
      </w:r>
      <w:proofErr w:type="spellEnd"/>
      <w:r>
        <w:rPr>
          <w:rFonts w:ascii="Times New Roman" w:hAnsi="Times New Roman"/>
          <w:sz w:val="24"/>
          <w:szCs w:val="24"/>
        </w:rPr>
        <w:t xml:space="preserve"> в постоянное пользование музея</w:t>
      </w:r>
      <w:r w:rsidRPr="00ED21F4">
        <w:rPr>
          <w:rFonts w:ascii="Times New Roman" w:hAnsi="Times New Roman"/>
          <w:sz w:val="24"/>
          <w:szCs w:val="24"/>
        </w:rPr>
        <w:t>;</w:t>
      </w:r>
    </w:p>
    <w:p w:rsidR="00BB6401" w:rsidRPr="00ED21F4"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если сдатчиком государственной награды выступает предприятие или учреждение (например, передаёт орден, которым оно было награждено), - к ходатайству в Комиссию по государственным наградам следует приложить выписку из решения собрания коллектива данного предприятия (учреждения), подтверждающую намерение передать данную </w:t>
      </w:r>
      <w:proofErr w:type="spellStart"/>
      <w:r>
        <w:rPr>
          <w:rFonts w:ascii="Times New Roman" w:hAnsi="Times New Roman"/>
          <w:sz w:val="24"/>
          <w:szCs w:val="24"/>
        </w:rPr>
        <w:t>госнаграду</w:t>
      </w:r>
      <w:proofErr w:type="spellEnd"/>
      <w:r>
        <w:rPr>
          <w:rFonts w:ascii="Times New Roman" w:hAnsi="Times New Roman"/>
          <w:sz w:val="24"/>
          <w:szCs w:val="24"/>
        </w:rPr>
        <w:t xml:space="preserve"> в постоянное пользование музея</w:t>
      </w:r>
      <w:r w:rsidRPr="00ED21F4">
        <w:rPr>
          <w:rFonts w:ascii="Times New Roman" w:hAnsi="Times New Roman"/>
          <w:sz w:val="24"/>
          <w:szCs w:val="24"/>
        </w:rPr>
        <w:t>;</w:t>
      </w:r>
    </w:p>
    <w:p w:rsidR="00BB6401" w:rsidRDefault="00BB6401" w:rsidP="00BB6401">
      <w:pPr>
        <w:pStyle w:val="ListParagraph"/>
        <w:spacing w:line="240" w:lineRule="auto"/>
        <w:ind w:left="0" w:firstLine="709"/>
        <w:jc w:val="both"/>
        <w:rPr>
          <w:rFonts w:ascii="Times New Roman" w:hAnsi="Times New Roman"/>
          <w:sz w:val="24"/>
          <w:szCs w:val="24"/>
        </w:rPr>
      </w:pPr>
      <w:proofErr w:type="gramStart"/>
      <w:r w:rsidRPr="002C0AB3">
        <w:rPr>
          <w:rFonts w:ascii="Times New Roman" w:hAnsi="Times New Roman"/>
          <w:sz w:val="24"/>
          <w:szCs w:val="24"/>
        </w:rPr>
        <w:t xml:space="preserve">- </w:t>
      </w:r>
      <w:r>
        <w:rPr>
          <w:rFonts w:ascii="Times New Roman" w:hAnsi="Times New Roman"/>
          <w:sz w:val="24"/>
          <w:szCs w:val="24"/>
        </w:rPr>
        <w:t xml:space="preserve">по согласованию с Управлением Президента Российской Федерации по государственным наградам Министерство культуры Российской Федерации рекомендует не выносить на рассмотрение Комиссии по государственным наградам при Президенте Российской Федерации вопросы закрепления за музеями государственных наград, поступивших в собрания музеев в период до принятия Федерального закона от 26.05. 1996 г. №54-ФЗ (т.е. до 26 мая 1996 года). </w:t>
      </w:r>
      <w:proofErr w:type="gramEnd"/>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5741B8">
        <w:rPr>
          <w:rFonts w:ascii="Times New Roman" w:hAnsi="Times New Roman"/>
          <w:i/>
          <w:sz w:val="24"/>
          <w:szCs w:val="24"/>
        </w:rPr>
        <w:t>Письмо Министерства культуры Российской Федерации</w:t>
      </w:r>
      <w:r>
        <w:rPr>
          <w:rFonts w:ascii="Times New Roman" w:hAnsi="Times New Roman"/>
          <w:sz w:val="24"/>
          <w:szCs w:val="24"/>
        </w:rPr>
        <w:t xml:space="preserve"> «О порядке </w:t>
      </w:r>
      <w:r w:rsidRPr="00A81497">
        <w:rPr>
          <w:rFonts w:ascii="Times New Roman" w:hAnsi="Times New Roman"/>
          <w:i/>
          <w:sz w:val="24"/>
          <w:szCs w:val="24"/>
        </w:rPr>
        <w:t>выдачи разрешительных документов на зарубежные выставки» от 12.01. 2018 г. № 6-01.1-39 ВА.</w:t>
      </w:r>
      <w:r>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В данном письме раскрывается порядок действий по оформлению разрешения на выдачу музейных предметов и музейных коллекций на выставки за границу Российской Федерации. Наиболее важные моменты для музеев:</w:t>
      </w:r>
    </w:p>
    <w:p w:rsidR="00BB6401" w:rsidRPr="00BF3CB9"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на оформление выдачи готовится единый пакет документов в бумажном и электронном виде</w:t>
      </w:r>
      <w:r w:rsidRPr="00BF3CB9">
        <w:rPr>
          <w:rFonts w:ascii="Times New Roman" w:hAnsi="Times New Roman"/>
          <w:sz w:val="24"/>
          <w:szCs w:val="24"/>
        </w:rPr>
        <w:t>;</w:t>
      </w:r>
    </w:p>
    <w:p w:rsidR="00BB6401" w:rsidRDefault="00BB6401" w:rsidP="00BB6401">
      <w:pPr>
        <w:pStyle w:val="ListParagraph"/>
        <w:spacing w:line="240" w:lineRule="auto"/>
        <w:ind w:left="0" w:firstLine="709"/>
        <w:jc w:val="both"/>
        <w:rPr>
          <w:rFonts w:ascii="Times New Roman" w:hAnsi="Times New Roman"/>
          <w:sz w:val="24"/>
          <w:szCs w:val="24"/>
        </w:rPr>
      </w:pPr>
      <w:r w:rsidRPr="00BF3CB9">
        <w:rPr>
          <w:rFonts w:ascii="Times New Roman" w:hAnsi="Times New Roman"/>
          <w:sz w:val="24"/>
          <w:szCs w:val="24"/>
        </w:rPr>
        <w:t xml:space="preserve">- </w:t>
      </w:r>
      <w:r>
        <w:rPr>
          <w:rFonts w:ascii="Times New Roman" w:hAnsi="Times New Roman"/>
          <w:sz w:val="24"/>
          <w:szCs w:val="24"/>
        </w:rPr>
        <w:t>данный пакет документов направляется приложением к ходатайству о разрешении выдачи предметов в Департамент культурного наследия Министерства культуры Российской Федерации. Рассматривается только полный пакет документов, оформленных по установленным правилам</w:t>
      </w:r>
      <w:r w:rsidRPr="00BF3CB9">
        <w:rPr>
          <w:rFonts w:ascii="Times New Roman" w:hAnsi="Times New Roman"/>
          <w:sz w:val="24"/>
          <w:szCs w:val="24"/>
        </w:rPr>
        <w:t xml:space="preserve">; </w:t>
      </w:r>
    </w:p>
    <w:p w:rsidR="00BB6401" w:rsidRPr="00BF3CB9"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срок рассмотрения представленных документов, - не менее 30 календарных дней до планируемой даты выдачи музейных предметов</w:t>
      </w:r>
      <w:r w:rsidRPr="00BF3CB9">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Министерство</w:t>
      </w:r>
      <w:r w:rsidRPr="00BF3CB9">
        <w:rPr>
          <w:rFonts w:ascii="Times New Roman" w:hAnsi="Times New Roman"/>
          <w:sz w:val="24"/>
          <w:szCs w:val="24"/>
        </w:rPr>
        <w:t xml:space="preserve"> </w:t>
      </w:r>
      <w:r>
        <w:rPr>
          <w:rFonts w:ascii="Times New Roman" w:hAnsi="Times New Roman"/>
          <w:sz w:val="24"/>
          <w:szCs w:val="24"/>
        </w:rPr>
        <w:t>культуры Российской Федерации выдаёт разрешение на выдачу в форме письма</w:t>
      </w:r>
      <w:r w:rsidRPr="00BF3CB9">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информация о разрешении на выдачу регистрируется в </w:t>
      </w:r>
      <w:proofErr w:type="spellStart"/>
      <w:r>
        <w:rPr>
          <w:rFonts w:ascii="Times New Roman" w:hAnsi="Times New Roman"/>
          <w:sz w:val="24"/>
          <w:szCs w:val="24"/>
        </w:rPr>
        <w:t>Госкаталоге</w:t>
      </w:r>
      <w:proofErr w:type="spellEnd"/>
      <w:r w:rsidRPr="00BF3CB9">
        <w:rPr>
          <w:rFonts w:ascii="Times New Roman" w:hAnsi="Times New Roman"/>
          <w:sz w:val="24"/>
          <w:szCs w:val="24"/>
        </w:rPr>
        <w:t>;</w:t>
      </w:r>
    </w:p>
    <w:p w:rsidR="00BB6401" w:rsidRPr="00BF3CB9"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переводы государственных гарантий и</w:t>
      </w:r>
      <w:r w:rsidRPr="00BF3CB9">
        <w:rPr>
          <w:rFonts w:ascii="Times New Roman" w:hAnsi="Times New Roman"/>
          <w:sz w:val="24"/>
          <w:szCs w:val="24"/>
        </w:rPr>
        <w:t xml:space="preserve"> </w:t>
      </w:r>
      <w:r>
        <w:rPr>
          <w:rFonts w:ascii="Times New Roman" w:hAnsi="Times New Roman"/>
          <w:sz w:val="24"/>
          <w:szCs w:val="24"/>
        </w:rPr>
        <w:t xml:space="preserve">документов финансовой ответственности иностранной стороны проекта подлежат </w:t>
      </w:r>
      <w:proofErr w:type="gramStart"/>
      <w:r>
        <w:rPr>
          <w:rFonts w:ascii="Times New Roman" w:hAnsi="Times New Roman"/>
          <w:sz w:val="24"/>
          <w:szCs w:val="24"/>
        </w:rPr>
        <w:t>обязательному</w:t>
      </w:r>
      <w:proofErr w:type="gramEnd"/>
      <w:r>
        <w:rPr>
          <w:rFonts w:ascii="Times New Roman" w:hAnsi="Times New Roman"/>
          <w:sz w:val="24"/>
          <w:szCs w:val="24"/>
        </w:rPr>
        <w:t xml:space="preserve"> </w:t>
      </w:r>
      <w:proofErr w:type="spellStart"/>
      <w:r>
        <w:rPr>
          <w:rFonts w:ascii="Times New Roman" w:hAnsi="Times New Roman"/>
          <w:sz w:val="24"/>
          <w:szCs w:val="24"/>
        </w:rPr>
        <w:t>апостилированию</w:t>
      </w:r>
      <w:proofErr w:type="spellEnd"/>
      <w:r w:rsidRPr="00BF3CB9">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sidRPr="00BF3CB9">
        <w:rPr>
          <w:rFonts w:ascii="Times New Roman" w:hAnsi="Times New Roman"/>
          <w:sz w:val="24"/>
          <w:szCs w:val="24"/>
        </w:rPr>
        <w:t xml:space="preserve">- </w:t>
      </w:r>
      <w:r>
        <w:rPr>
          <w:rFonts w:ascii="Times New Roman" w:hAnsi="Times New Roman"/>
          <w:sz w:val="24"/>
          <w:szCs w:val="24"/>
        </w:rPr>
        <w:t>продление зарубежной выставки требует оформления разрешения в Министерстве культуры Российской Федерации в установленном порядке</w:t>
      </w:r>
      <w:r w:rsidRPr="00BF3CB9">
        <w:rPr>
          <w:rFonts w:ascii="Times New Roman" w:hAnsi="Times New Roman"/>
          <w:sz w:val="24"/>
          <w:szCs w:val="24"/>
        </w:rPr>
        <w:t xml:space="preserve">; </w:t>
      </w:r>
    </w:p>
    <w:p w:rsidR="00BB6401" w:rsidRPr="002B621C"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Министерство культуры Российской Федерации устанавливает регионально-</w:t>
      </w:r>
      <w:proofErr w:type="spellStart"/>
      <w:r>
        <w:rPr>
          <w:rFonts w:ascii="Times New Roman" w:hAnsi="Times New Roman"/>
          <w:sz w:val="24"/>
          <w:szCs w:val="24"/>
        </w:rPr>
        <w:t>страновые</w:t>
      </w:r>
      <w:proofErr w:type="spellEnd"/>
      <w:r>
        <w:rPr>
          <w:rFonts w:ascii="Times New Roman" w:hAnsi="Times New Roman"/>
          <w:sz w:val="24"/>
          <w:szCs w:val="24"/>
        </w:rPr>
        <w:t xml:space="preserve"> приоритеты культурного сотрудничества. Нарушение данных приоритетов может послужить основанием для отказа в разрешении оформления выдачи и вывоза музейных предметов</w:t>
      </w:r>
      <w:r w:rsidRPr="00BF3CB9">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sidRPr="00BF3CB9">
        <w:rPr>
          <w:rFonts w:ascii="Times New Roman" w:hAnsi="Times New Roman"/>
          <w:sz w:val="24"/>
          <w:szCs w:val="24"/>
        </w:rPr>
        <w:t xml:space="preserve">- </w:t>
      </w:r>
      <w:r>
        <w:rPr>
          <w:rFonts w:ascii="Times New Roman" w:hAnsi="Times New Roman"/>
          <w:sz w:val="24"/>
          <w:szCs w:val="24"/>
          <w:lang w:val="en-US"/>
        </w:rPr>
        <w:t>c</w:t>
      </w:r>
      <w:r w:rsidRPr="00BF3CB9">
        <w:rPr>
          <w:rFonts w:ascii="Times New Roman" w:hAnsi="Times New Roman"/>
          <w:sz w:val="24"/>
          <w:szCs w:val="24"/>
        </w:rPr>
        <w:t xml:space="preserve"> 01 </w:t>
      </w:r>
      <w:r>
        <w:rPr>
          <w:rFonts w:ascii="Times New Roman" w:hAnsi="Times New Roman"/>
          <w:sz w:val="24"/>
          <w:szCs w:val="24"/>
        </w:rPr>
        <w:t xml:space="preserve">апреля 2018 года основанием для такого отказа служит и отсутствие у предметов уникальных идентифицирующих номеров </w:t>
      </w:r>
      <w:proofErr w:type="spellStart"/>
      <w:r>
        <w:rPr>
          <w:rFonts w:ascii="Times New Roman" w:hAnsi="Times New Roman"/>
          <w:sz w:val="24"/>
          <w:szCs w:val="24"/>
        </w:rPr>
        <w:t>Госкаталога</w:t>
      </w:r>
      <w:proofErr w:type="spellEnd"/>
      <w:r w:rsidRPr="00A81497">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все заявленные к вывозу предметы страхуются единым полисом.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страховая сумма составляет 10 миллионов долларов США и более, требуются копии документов о перестраховании. Протокол ЭФЗК должен содержать не только установленную страховую сумму, но и её обоснование со ссылкой на обосновывающую информацию. </w:t>
      </w:r>
    </w:p>
    <w:p w:rsidR="00BB6401" w:rsidRDefault="00BB6401" w:rsidP="00BB6401">
      <w:pPr>
        <w:pStyle w:val="ListParagraph"/>
        <w:spacing w:line="240" w:lineRule="auto"/>
        <w:ind w:left="0" w:firstLine="709"/>
        <w:jc w:val="both"/>
        <w:rPr>
          <w:rFonts w:ascii="Times New Roman" w:hAnsi="Times New Roman"/>
          <w:sz w:val="24"/>
          <w:szCs w:val="24"/>
        </w:rPr>
      </w:pP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4. </w:t>
      </w:r>
      <w:r w:rsidRPr="008547BB">
        <w:rPr>
          <w:rFonts w:ascii="Times New Roman" w:hAnsi="Times New Roman"/>
          <w:i/>
          <w:sz w:val="24"/>
          <w:szCs w:val="24"/>
        </w:rPr>
        <w:t>Письмо Министерства культуры Российской Федерации «О порядке предоставления формы статистического наблюдения №8-нк за 2018 год» от 21. 12. 2018 г. №473-01.1-39-АМ</w:t>
      </w:r>
      <w:r>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В данном письме содержатся новшества по практике ежегодного представления формы государственного статистического наблюдения 8-нк по музейной деятельности. Впервые устанавливается необходимость подачи этой формы статистического наблюдения для музеев – обособленных подразделений иных организаций культуры и музеев, - обособленных подразделений организаций, для которых музейная деятельность не является основной.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5. </w:t>
      </w:r>
      <w:r w:rsidRPr="00B26AFA">
        <w:rPr>
          <w:rFonts w:ascii="Times New Roman" w:hAnsi="Times New Roman"/>
          <w:i/>
          <w:sz w:val="24"/>
          <w:szCs w:val="24"/>
        </w:rPr>
        <w:t xml:space="preserve">Положение о порядке проведения </w:t>
      </w:r>
      <w:proofErr w:type="gramStart"/>
      <w:r w:rsidRPr="00B26AFA">
        <w:rPr>
          <w:rFonts w:ascii="Times New Roman" w:hAnsi="Times New Roman"/>
          <w:i/>
          <w:sz w:val="24"/>
          <w:szCs w:val="24"/>
        </w:rPr>
        <w:t>археологических</w:t>
      </w:r>
      <w:proofErr w:type="gramEnd"/>
      <w:r w:rsidRPr="00B26AFA">
        <w:rPr>
          <w:rFonts w:ascii="Times New Roman" w:hAnsi="Times New Roman"/>
          <w:i/>
          <w:sz w:val="24"/>
          <w:szCs w:val="24"/>
        </w:rPr>
        <w:t xml:space="preserve"> полевых работ и составления научной отчётной документации. Утверждено постановлением Бюро Отделения историко-филологических наук Российской академии наук от 20.06. 2018 г №32</w:t>
      </w:r>
      <w:r>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bookmarkStart w:id="0" w:name="_GoBack"/>
      <w:bookmarkEnd w:id="0"/>
      <w:r>
        <w:rPr>
          <w:rFonts w:ascii="Times New Roman" w:hAnsi="Times New Roman"/>
          <w:sz w:val="24"/>
          <w:szCs w:val="24"/>
        </w:rPr>
        <w:t>Документ актуален для музеев, иных организаций и образований музейного типа, осуществляющих археологические полевые исследования, формирующих археологические музейные коллекции, принимающих результаты археологических полевых исследований в государственную часть Музейного фонда Российской Федерации. Положение содержит:</w:t>
      </w:r>
    </w:p>
    <w:p w:rsidR="00BB6401" w:rsidRPr="00B26AFA"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определение видов археологических полевых работ</w:t>
      </w:r>
      <w:r w:rsidRPr="00B26AFA">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sidRPr="00B26AFA">
        <w:rPr>
          <w:rFonts w:ascii="Times New Roman" w:hAnsi="Times New Roman"/>
          <w:sz w:val="24"/>
          <w:szCs w:val="24"/>
        </w:rPr>
        <w:t xml:space="preserve">- </w:t>
      </w:r>
      <w:r>
        <w:rPr>
          <w:rFonts w:ascii="Times New Roman" w:hAnsi="Times New Roman"/>
          <w:sz w:val="24"/>
          <w:szCs w:val="24"/>
        </w:rPr>
        <w:t>порядок проведения археологических разведок</w:t>
      </w:r>
      <w:r w:rsidRPr="002B621C">
        <w:rPr>
          <w:rFonts w:ascii="Times New Roman" w:hAnsi="Times New Roman"/>
          <w:sz w:val="24"/>
          <w:szCs w:val="24"/>
        </w:rPr>
        <w:t>;</w:t>
      </w:r>
    </w:p>
    <w:p w:rsidR="00BB6401" w:rsidRPr="00B26AFA"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порядок проведения археологических раскопок</w:t>
      </w:r>
      <w:r w:rsidRPr="00B26AFA">
        <w:rPr>
          <w:rFonts w:ascii="Times New Roman" w:hAnsi="Times New Roman"/>
          <w:sz w:val="24"/>
          <w:szCs w:val="24"/>
        </w:rPr>
        <w:t>;</w:t>
      </w:r>
    </w:p>
    <w:p w:rsidR="00BB6401" w:rsidRDefault="00BB6401" w:rsidP="00BB6401">
      <w:pPr>
        <w:pStyle w:val="ListParagraph"/>
        <w:spacing w:line="240" w:lineRule="auto"/>
        <w:ind w:left="0" w:firstLine="709"/>
        <w:jc w:val="both"/>
        <w:rPr>
          <w:rFonts w:ascii="Times New Roman" w:hAnsi="Times New Roman"/>
          <w:sz w:val="24"/>
          <w:szCs w:val="24"/>
        </w:rPr>
      </w:pPr>
      <w:r w:rsidRPr="00B26AFA">
        <w:rPr>
          <w:rFonts w:ascii="Times New Roman" w:hAnsi="Times New Roman"/>
          <w:sz w:val="24"/>
          <w:szCs w:val="24"/>
        </w:rPr>
        <w:t xml:space="preserve">- </w:t>
      </w:r>
      <w:r>
        <w:rPr>
          <w:rFonts w:ascii="Times New Roman" w:hAnsi="Times New Roman"/>
          <w:sz w:val="24"/>
          <w:szCs w:val="24"/>
        </w:rPr>
        <w:t>порядок проведения археологических наблюдений</w:t>
      </w:r>
      <w:r w:rsidRPr="002B621C">
        <w:rPr>
          <w:rFonts w:ascii="Times New Roman" w:hAnsi="Times New Roman"/>
          <w:sz w:val="24"/>
          <w:szCs w:val="24"/>
        </w:rPr>
        <w:t xml:space="preserve">; </w:t>
      </w:r>
    </w:p>
    <w:p w:rsidR="00BB6401"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состав, структуру и порядок подготовки отчётности по итогам </w:t>
      </w:r>
      <w:proofErr w:type="gramStart"/>
      <w:r>
        <w:rPr>
          <w:rFonts w:ascii="Times New Roman" w:hAnsi="Times New Roman"/>
          <w:sz w:val="24"/>
          <w:szCs w:val="24"/>
        </w:rPr>
        <w:t>археологических</w:t>
      </w:r>
      <w:proofErr w:type="gramEnd"/>
      <w:r>
        <w:rPr>
          <w:rFonts w:ascii="Times New Roman" w:hAnsi="Times New Roman"/>
          <w:sz w:val="24"/>
          <w:szCs w:val="24"/>
        </w:rPr>
        <w:t xml:space="preserve"> полевых работ</w:t>
      </w:r>
      <w:r w:rsidRPr="00B26AFA">
        <w:rPr>
          <w:rFonts w:ascii="Times New Roman" w:hAnsi="Times New Roman"/>
          <w:sz w:val="24"/>
          <w:szCs w:val="24"/>
        </w:rPr>
        <w:t xml:space="preserve">; </w:t>
      </w:r>
    </w:p>
    <w:p w:rsidR="00BB6401" w:rsidRPr="00B26AFA"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порядок научной экспертизы отчётности по итогам </w:t>
      </w:r>
      <w:proofErr w:type="gramStart"/>
      <w:r>
        <w:rPr>
          <w:rFonts w:ascii="Times New Roman" w:hAnsi="Times New Roman"/>
          <w:sz w:val="24"/>
          <w:szCs w:val="24"/>
        </w:rPr>
        <w:t>археологических</w:t>
      </w:r>
      <w:proofErr w:type="gramEnd"/>
      <w:r>
        <w:rPr>
          <w:rFonts w:ascii="Times New Roman" w:hAnsi="Times New Roman"/>
          <w:sz w:val="24"/>
          <w:szCs w:val="24"/>
        </w:rPr>
        <w:t xml:space="preserve"> полевых работ</w:t>
      </w:r>
      <w:r w:rsidRPr="00B26AFA">
        <w:rPr>
          <w:rFonts w:ascii="Times New Roman" w:hAnsi="Times New Roman"/>
          <w:sz w:val="24"/>
          <w:szCs w:val="24"/>
        </w:rPr>
        <w:t xml:space="preserve">; </w:t>
      </w:r>
    </w:p>
    <w:p w:rsidR="00BB6401" w:rsidRPr="00B26AFA" w:rsidRDefault="00BB6401" w:rsidP="00BB640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порядок использования научных отчётов по итогам археологических полевых работ в научных целях</w:t>
      </w:r>
      <w:r w:rsidRPr="00B26AFA">
        <w:rPr>
          <w:rFonts w:ascii="Times New Roman" w:hAnsi="Times New Roman"/>
          <w:sz w:val="24"/>
          <w:szCs w:val="24"/>
        </w:rPr>
        <w:t>;</w:t>
      </w:r>
    </w:p>
    <w:p w:rsidR="00BB6401" w:rsidRPr="00B26AFA" w:rsidRDefault="00BB6401" w:rsidP="00BB6401">
      <w:pPr>
        <w:pStyle w:val="ListParagraph"/>
        <w:spacing w:line="240" w:lineRule="auto"/>
        <w:ind w:left="0" w:firstLine="709"/>
        <w:jc w:val="both"/>
        <w:rPr>
          <w:rFonts w:ascii="Times New Roman" w:hAnsi="Times New Roman"/>
          <w:sz w:val="24"/>
          <w:szCs w:val="24"/>
        </w:rPr>
      </w:pPr>
      <w:r w:rsidRPr="00B26AFA">
        <w:rPr>
          <w:rFonts w:ascii="Times New Roman" w:hAnsi="Times New Roman"/>
          <w:sz w:val="24"/>
          <w:szCs w:val="24"/>
        </w:rPr>
        <w:t xml:space="preserve">- </w:t>
      </w:r>
      <w:r>
        <w:rPr>
          <w:rFonts w:ascii="Times New Roman" w:hAnsi="Times New Roman"/>
          <w:sz w:val="24"/>
          <w:szCs w:val="24"/>
        </w:rPr>
        <w:t xml:space="preserve">требования к профессиональным знаниям и навыкам исследователя – археолога. </w:t>
      </w:r>
      <w:r w:rsidRPr="00B26AFA">
        <w:rPr>
          <w:rFonts w:ascii="Times New Roman" w:hAnsi="Times New Roman"/>
          <w:sz w:val="24"/>
          <w:szCs w:val="24"/>
        </w:rPr>
        <w:t xml:space="preserve"> </w:t>
      </w:r>
    </w:p>
    <w:p w:rsidR="00BB6401" w:rsidRPr="00B26AFA" w:rsidRDefault="00BB6401" w:rsidP="00BB6401">
      <w:pPr>
        <w:pStyle w:val="ListParagraph"/>
        <w:spacing w:line="240" w:lineRule="auto"/>
        <w:ind w:left="0" w:firstLine="709"/>
        <w:jc w:val="both"/>
        <w:rPr>
          <w:rFonts w:ascii="Times New Roman" w:hAnsi="Times New Roman"/>
          <w:sz w:val="24"/>
          <w:szCs w:val="24"/>
        </w:rPr>
      </w:pPr>
    </w:p>
    <w:p w:rsidR="00066ED7" w:rsidRDefault="00066ED7" w:rsidP="00BB6401">
      <w:pPr>
        <w:ind w:firstLine="709"/>
      </w:pPr>
    </w:p>
    <w:sectPr w:rsidR="00066ED7" w:rsidSect="00BB640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F0C"/>
    <w:multiLevelType w:val="hybridMultilevel"/>
    <w:tmpl w:val="A9024452"/>
    <w:lvl w:ilvl="0" w:tplc="2D12763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572F14"/>
    <w:multiLevelType w:val="hybridMultilevel"/>
    <w:tmpl w:val="98EE7FDE"/>
    <w:lvl w:ilvl="0" w:tplc="70A6F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01"/>
    <w:rsid w:val="00066ED7"/>
    <w:rsid w:val="00BB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B6401"/>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B6401"/>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Кузяева Татьяна</dc:creator>
  <cp:lastModifiedBy>Кузяева Татьяна</cp:lastModifiedBy>
  <cp:revision>1</cp:revision>
  <dcterms:created xsi:type="dcterms:W3CDTF">2019-08-29T12:48:00Z</dcterms:created>
  <dcterms:modified xsi:type="dcterms:W3CDTF">2019-08-29T12:52:00Z</dcterms:modified>
</cp:coreProperties>
</file>