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jc w:val="center"/>
        <w:rPr>
          <w:rFonts w:ascii="Times New Roman" w:hAnsi="Times New Roman"/>
          <w:sz w:val="28"/>
          <w:szCs w:val="28"/>
        </w:rPr>
      </w:pPr>
      <w:r>
        <w:rPr>
          <w:rStyle w:val="Style14"/>
          <w:b w:val="false"/>
          <w:i w:val="false"/>
          <w:caps w:val="false"/>
          <w:smallCaps w:val="false"/>
          <w:color w:val="000000"/>
          <w:spacing w:val="0"/>
          <w:sz w:val="28"/>
          <w:szCs w:val="28"/>
        </w:rPr>
        <w:t>Министерство культуры Республики Хакасия</w:t>
      </w:r>
    </w:p>
    <w:p>
      <w:pPr>
        <w:pStyle w:val="Style16"/>
        <w:widowControl/>
        <w:jc w:val="center"/>
        <w:rPr/>
      </w:pPr>
      <w:r>
        <w:rPr>
          <w:rStyle w:val="Style14"/>
          <w:b w:val="false"/>
          <w:i w:val="false"/>
          <w:caps w:val="false"/>
          <w:smallCaps w:val="false"/>
          <w:color w:val="000000"/>
          <w:spacing w:val="0"/>
          <w:sz w:val="28"/>
          <w:szCs w:val="28"/>
        </w:rPr>
        <w:t>ПРИКАЗ</w:t>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«21» января 2016 г.                                                  № 06</w:t>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Абакан</w:t>
      </w:r>
    </w:p>
    <w:p>
      <w:pPr>
        <w:pStyle w:val="Style16"/>
        <w:widowControl/>
        <w:jc w:val="center"/>
        <w:rPr/>
      </w:pPr>
      <w:r>
        <w:rPr>
          <w:rStyle w:val="Style14"/>
          <w:b w:val="false"/>
          <w:i w:val="false"/>
          <w:caps w:val="false"/>
          <w:smallCaps w:val="false"/>
          <w:color w:val="000000"/>
          <w:spacing w:val="0"/>
          <w:sz w:val="28"/>
          <w:szCs w:val="28"/>
        </w:rPr>
        <w:t>О Плане мероприятий по проведению в Республике Хакасия</w:t>
      </w:r>
    </w:p>
    <w:p>
      <w:pPr>
        <w:pStyle w:val="Style16"/>
        <w:widowControl/>
        <w:jc w:val="center"/>
        <w:rPr/>
      </w:pPr>
      <w:r>
        <w:rPr>
          <w:rStyle w:val="Style14"/>
          <w:b w:val="false"/>
          <w:i w:val="false"/>
          <w:caps w:val="false"/>
          <w:smallCaps w:val="false"/>
          <w:color w:val="000000"/>
          <w:spacing w:val="0"/>
          <w:sz w:val="28"/>
          <w:szCs w:val="28"/>
        </w:rPr>
        <w:t>в сфере культуры Года Н.Г. Доможакова</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постановлением Президиума Правительства Республики Хакасия от 28.12.2015 № 122-п «Об объявлении 2016 года в Республике Хакасия в сфере культуры Годом Н.Г. Доможакова» п р и к а з ы в а ю:</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Обеспечить в учреждениях культуры Республики Хакасия безусловную реализацию Плана мероприятий по проведению в Республике Хакасия в сфере культуры Года Н.Г. Доможакова (далее - План), утвержденного постановлением Президиума Правительства Республики Хакасия от 28.12.2015 № 122-п, в части касающейся (приложение).</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Директорам республиканских учреждений культуры, ответственным за организацию и проведение мероприятий, посвященных 100-летию Н.Г.Доможакова: А.И. Готлибу (ГАУК РХ «Хакасский национальный краеведческий музей им. Л.Р. Кызласова»), Т.А. Дорохиной (ГБУК РХ «Хакасская республиканская специальная библиотека для слепых»), А.И. Журба (ГБУК РХ «Хакасская республиканская детская библиотека»), Н.П. Карачаковой (ГАУ РХ «Центр культуры и народного творчества им. С.П. Кадышева»), Ю.В. Костяковой (ГБУК РХ «Национальная библиотека им. Н.Г. Доможакова), А.И. Котожекову (АУ РХ «Дом литераторов Хакасии»), В.К. Кулимеевой (ГАУК РХ «Хакасский республиканский национальный музей-заповедник», Л.П. Макеевой (ГАОУ РХ «Республиканский методический центр по художественному образованию»), В.М. Райс (ГКУ РХ «Национальный архив»), А.А. Шаренко (ГБОУ РХ «Хакасская республиканская национальная детская школа искусств») обеспечить:</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своевременное направление информационных материалов о заявленных мероприятиях в координационно-аналитический отдел Министерства культуры Республики Хакасия для организации их освещения в средствах массовой информации;</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представление отчетов о реализации мероприятий, включенных в республиканский План по итогам года до 30.12.2016 года (контактное лицо для взаимодействия Мананкина Ирина Павловна, 295-140, e-mail Br77@yandex.ru).</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Координационно-аналитическому отделу Министерства культуры Республики Хакасия (А.В. Самочернова) оказать содействие в информационном освещении юбилейных мероприятий, посвященных 100-летию Н. Г. Доможакова.</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4. Рекомендовать начальникам органов управления культурой муниципальных образований Республики Хакасия обеспечить проведение юбилейных мероприятий на территории муниципального образования.</w:t>
      </w:r>
    </w:p>
    <w:p>
      <w:pPr>
        <w:pStyle w:val="Style16"/>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5. Контроль за исполнением настоящего приказа возложить на Н.С. Григорьеву, заместителя министра – начальника отдела по делам архивов Министерства культуры Республики Хакасия.</w:t>
      </w:r>
    </w:p>
    <w:p>
      <w:pPr>
        <w:pStyle w:val="Style16"/>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Министр                                                                                            С. Окольникова</w:t>
      </w:r>
    </w:p>
    <w:p>
      <w:pPr>
        <w:pStyle w:val="Style20"/>
        <w:spacing w:before="0" w:after="283"/>
        <w:jc w:val="both"/>
        <w:rPr>
          <w:rFonts w:ascii="Times New Roman" w:hAnsi="Times New Roman"/>
          <w:sz w:val="28"/>
          <w:szCs w:val="28"/>
        </w:rPr>
      </w:pPr>
      <w:r>
        <w:rPr>
          <w:sz w:val="28"/>
          <w:szCs w:val="28"/>
        </w:rPr>
      </w:r>
    </w:p>
    <w:p>
      <w:pPr>
        <w:pStyle w:val="Style20"/>
        <w:spacing w:before="0" w:after="283"/>
        <w:jc w:val="right"/>
        <w:rPr>
          <w:rFonts w:ascii="Times New Roman" w:hAnsi="Times New Roman"/>
          <w:sz w:val="28"/>
          <w:szCs w:val="28"/>
        </w:rPr>
      </w:pPr>
      <w:r>
        <w:rPr>
          <w:sz w:val="28"/>
          <w:szCs w:val="28"/>
        </w:rPr>
        <w:t>Приложение</w:t>
      </w:r>
    </w:p>
    <w:p>
      <w:pPr>
        <w:pStyle w:val="Style20"/>
        <w:spacing w:before="0" w:after="283"/>
        <w:jc w:val="right"/>
        <w:rPr>
          <w:rFonts w:ascii="Times New Roman" w:hAnsi="Times New Roman"/>
          <w:sz w:val="28"/>
          <w:szCs w:val="28"/>
        </w:rPr>
      </w:pPr>
      <w:r>
        <w:rPr>
          <w:sz w:val="28"/>
          <w:szCs w:val="28"/>
        </w:rPr>
        <w:t>к приказу Министерства культуры</w:t>
      </w:r>
    </w:p>
    <w:p>
      <w:pPr>
        <w:pStyle w:val="Style20"/>
        <w:spacing w:before="0" w:after="283"/>
        <w:jc w:val="right"/>
        <w:rPr>
          <w:rFonts w:ascii="Times New Roman" w:hAnsi="Times New Roman"/>
          <w:sz w:val="28"/>
          <w:szCs w:val="28"/>
        </w:rPr>
      </w:pPr>
      <w:r>
        <w:rPr>
          <w:sz w:val="28"/>
          <w:szCs w:val="28"/>
        </w:rPr>
        <w:t>Республики Хакасия</w:t>
      </w:r>
    </w:p>
    <w:p>
      <w:pPr>
        <w:pStyle w:val="Style20"/>
        <w:widowControl/>
        <w:spacing w:before="0" w:after="283"/>
        <w:jc w:val="right"/>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от « 21 » января 2016г. № </w:t>
      </w:r>
      <w:r>
        <w:rPr>
          <w:caps w:val="false"/>
          <w:smallCaps w:val="false"/>
          <w:color w:val="000000"/>
          <w:spacing w:val="0"/>
          <w:sz w:val="28"/>
          <w:szCs w:val="28"/>
          <w:u w:val="single"/>
        </w:rPr>
        <w:t>06</w:t>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ПЛАН</w:t>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мероприятий по проведению в Республике Хакасия </w:t>
      </w:r>
      <w:bookmarkStart w:id="0" w:name="_GoBack"/>
      <w:bookmarkEnd w:id="0"/>
      <w:r>
        <w:rPr>
          <w:b w:val="false"/>
          <w:i w:val="false"/>
          <w:caps w:val="false"/>
          <w:smallCaps w:val="false"/>
          <w:color w:val="000000"/>
          <w:spacing w:val="0"/>
          <w:sz w:val="28"/>
          <w:szCs w:val="28"/>
        </w:rPr>
        <w:t>в сфере культуры</w:t>
      </w:r>
    </w:p>
    <w:p>
      <w:pPr>
        <w:pStyle w:val="Style16"/>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Года Н.Г. Доможакова</w:t>
      </w:r>
    </w:p>
    <w:p>
      <w:pPr>
        <w:pStyle w:val="Style16"/>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tbl>
      <w:tblPr>
        <w:tblW w:w="9638"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78"/>
        <w:gridCol w:w="2901"/>
        <w:gridCol w:w="1935"/>
        <w:gridCol w:w="1908"/>
        <w:gridCol w:w="2316"/>
      </w:tblGrid>
      <w:tr>
        <w:trPr/>
        <w:tc>
          <w:tcPr>
            <w:tcW w:w="578"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 xml:space="preserve">№ </w:t>
            </w:r>
            <w:r>
              <w:rPr>
                <w:sz w:val="28"/>
                <w:szCs w:val="28"/>
              </w:rPr>
              <w:t>п/п</w:t>
            </w:r>
          </w:p>
        </w:tc>
        <w:tc>
          <w:tcPr>
            <w:tcW w:w="2901"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Наименование мероприятия</w:t>
            </w:r>
          </w:p>
        </w:tc>
        <w:tc>
          <w:tcPr>
            <w:tcW w:w="1935"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Дата проведения</w:t>
            </w:r>
          </w:p>
        </w:tc>
        <w:tc>
          <w:tcPr>
            <w:tcW w:w="1908"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Место проведения</w:t>
            </w:r>
          </w:p>
        </w:tc>
        <w:tc>
          <w:tcPr>
            <w:tcW w:w="231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Ответственный исполнитель</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rPr>
                <w:rFonts w:ascii="Times New Roman" w:hAnsi="Times New Roman"/>
                <w:sz w:val="28"/>
                <w:szCs w:val="28"/>
              </w:rPr>
            </w:pPr>
            <w:r>
              <w:rPr>
                <w:sz w:val="28"/>
                <w:szCs w:val="28"/>
              </w:rPr>
              <w:t>1</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rPr>
                <w:rFonts w:ascii="Times New Roman" w:hAnsi="Times New Roman"/>
                <w:sz w:val="28"/>
                <w:szCs w:val="28"/>
              </w:rPr>
            </w:pPr>
            <w:r>
              <w:rPr>
                <w:sz w:val="28"/>
                <w:szCs w:val="28"/>
              </w:rPr>
              <w:t>2</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rPr>
                <w:rFonts w:ascii="Times New Roman" w:hAnsi="Times New Roman"/>
                <w:sz w:val="28"/>
                <w:szCs w:val="28"/>
              </w:rPr>
            </w:pPr>
            <w:r>
              <w:rPr>
                <w:sz w:val="28"/>
                <w:szCs w:val="28"/>
              </w:rPr>
              <w:t>3</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rPr>
                <w:rFonts w:ascii="Times New Roman" w:hAnsi="Times New Roman"/>
                <w:sz w:val="28"/>
                <w:szCs w:val="28"/>
              </w:rPr>
            </w:pPr>
            <w:r>
              <w:rPr>
                <w:sz w:val="28"/>
                <w:szCs w:val="28"/>
              </w:rPr>
              <w:t>4</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rPr>
                <w:rFonts w:ascii="Times New Roman" w:hAnsi="Times New Roman"/>
                <w:sz w:val="28"/>
                <w:szCs w:val="28"/>
              </w:rPr>
            </w:pPr>
            <w:r>
              <w:rPr>
                <w:sz w:val="28"/>
                <w:szCs w:val="28"/>
              </w:rPr>
              <w:t>5</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Творческий вечер, посвященный 100-летию со дня рождения 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январь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Хакасская региональная общественная творческая организация «Союз писателей Хакасии»</w:t>
              <w:br/>
              <w:t>(по согласованию)</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2</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Интернет-выставка, посвященная 100-летию со дня рождения писателя</w:t>
            </w:r>
          </w:p>
          <w:p>
            <w:pPr>
              <w:pStyle w:val="Style20"/>
              <w:spacing w:before="0" w:after="283"/>
              <w:jc w:val="both"/>
              <w:rPr>
                <w:rFonts w:ascii="Times New Roman" w:hAnsi="Times New Roman"/>
                <w:sz w:val="28"/>
                <w:szCs w:val="28"/>
              </w:rPr>
            </w:pPr>
            <w:r>
              <w:rPr>
                <w:sz w:val="28"/>
                <w:szCs w:val="28"/>
              </w:rPr>
              <w:t>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январь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ГКУ РХ «Национальный архив»</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3</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Читательская конференция</w:t>
              <w:br/>
              <w:t>«В далеком аале»</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январь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«Хакасская республиканская специальная библиотека для слепых»</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4</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Познавательный час для школьников</w:t>
            </w:r>
          </w:p>
          <w:p>
            <w:pPr>
              <w:pStyle w:val="Style20"/>
              <w:spacing w:before="0" w:after="283"/>
              <w:jc w:val="both"/>
              <w:rPr>
                <w:rFonts w:ascii="Times New Roman" w:hAnsi="Times New Roman"/>
                <w:sz w:val="28"/>
                <w:szCs w:val="28"/>
              </w:rPr>
            </w:pPr>
            <w:r>
              <w:rPr>
                <w:sz w:val="28"/>
                <w:szCs w:val="28"/>
              </w:rPr>
              <w:t>«Н.Г. Доможаков – автор первого хакасского романа</w:t>
              <w:br/>
              <w:t>«В далеком аале»</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январь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«Хакасская республиканская детская библиотека»,</w:t>
            </w:r>
          </w:p>
          <w:p>
            <w:pPr>
              <w:pStyle w:val="Style20"/>
              <w:spacing w:before="0" w:after="283"/>
              <w:jc w:val="both"/>
              <w:rPr>
                <w:rFonts w:ascii="Times New Roman" w:hAnsi="Times New Roman"/>
                <w:sz w:val="28"/>
                <w:szCs w:val="28"/>
              </w:rPr>
            </w:pPr>
            <w:r>
              <w:rPr>
                <w:sz w:val="28"/>
                <w:szCs w:val="28"/>
              </w:rPr>
              <w:t>АУ РХ «Дом литераторов Хакасии»</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5</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Конференция «Вклад известных людей в культуру Хакасии»</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февраль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ГАУК РХ «Хакасский национальный краеведческий музей им. Л.Р. Кызласова»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6</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Выставка «Великие сыны земли Хакасской», посвященная юбилеям</w:t>
            </w:r>
          </w:p>
          <w:p>
            <w:pPr>
              <w:pStyle w:val="Style20"/>
              <w:spacing w:before="0" w:after="283"/>
              <w:jc w:val="both"/>
              <w:rPr>
                <w:rFonts w:ascii="Times New Roman" w:hAnsi="Times New Roman"/>
                <w:sz w:val="28"/>
                <w:szCs w:val="28"/>
              </w:rPr>
            </w:pPr>
            <w:r>
              <w:rPr>
                <w:sz w:val="28"/>
                <w:szCs w:val="28"/>
              </w:rPr>
              <w:t>Н.Г. Доможакова, Я.И. Сунчугашева, М.Н. Чебодаева,</w:t>
            </w:r>
          </w:p>
          <w:p>
            <w:pPr>
              <w:pStyle w:val="Style20"/>
              <w:spacing w:before="0" w:after="283"/>
              <w:jc w:val="both"/>
              <w:rPr>
                <w:rFonts w:ascii="Times New Roman" w:hAnsi="Times New Roman"/>
                <w:sz w:val="28"/>
                <w:szCs w:val="28"/>
              </w:rPr>
            </w:pPr>
            <w:r>
              <w:rPr>
                <w:sz w:val="28"/>
                <w:szCs w:val="28"/>
              </w:rPr>
              <w:t>А. Аткнина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февраль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ГАУК РХ «Хакасский национальный краеведческий музей им.</w:t>
            </w:r>
          </w:p>
          <w:p>
            <w:pPr>
              <w:pStyle w:val="Style20"/>
              <w:spacing w:before="0" w:after="283"/>
              <w:jc w:val="both"/>
              <w:rPr>
                <w:rFonts w:ascii="Times New Roman" w:hAnsi="Times New Roman"/>
                <w:sz w:val="28"/>
                <w:szCs w:val="28"/>
              </w:rPr>
            </w:pPr>
            <w:r>
              <w:rPr>
                <w:sz w:val="28"/>
                <w:szCs w:val="28"/>
              </w:rPr>
              <w:t>Л.Р. Кызласова»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7</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Вечер памяти «Мелодии давно забытых встреч», посвящённый</w:t>
            </w:r>
          </w:p>
          <w:p>
            <w:pPr>
              <w:pStyle w:val="Style20"/>
              <w:spacing w:before="0" w:after="283"/>
              <w:jc w:val="both"/>
              <w:rPr>
                <w:rFonts w:ascii="Times New Roman" w:hAnsi="Times New Roman"/>
                <w:sz w:val="28"/>
                <w:szCs w:val="28"/>
              </w:rPr>
            </w:pPr>
            <w:r>
              <w:rPr>
                <w:sz w:val="28"/>
                <w:szCs w:val="28"/>
              </w:rPr>
              <w:t>Н.Г. Доможакову</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февраль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ГАУК РХ «Хакасский национальный краеведческий музей им.  Л.Р. Кызласова»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8</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Республиканский конкурс детских исполнительских работ в области изобразительного искусства по мотивам произведений 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февраль–март</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ГАОУ РХ «Республиканс-кий методический центр по художественному образованию»</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9</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Концерт произведений хакасской национальной культуры</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март</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ГБОУ РХ «Хакасская республиканская национальная детская школа искусств»</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10</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VI республиканский конкурс детского и юношеского творчества «Созвездие юных» (художественное слово), посвященный 100-летию со дня рождения 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2 апреля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ГАУ РХ «Центр культуры и народного творчества</w:t>
            </w:r>
          </w:p>
          <w:p>
            <w:pPr>
              <w:pStyle w:val="Style20"/>
              <w:spacing w:before="0" w:after="283"/>
              <w:jc w:val="both"/>
              <w:rPr>
                <w:rFonts w:ascii="Times New Roman" w:hAnsi="Times New Roman"/>
                <w:sz w:val="28"/>
                <w:szCs w:val="28"/>
              </w:rPr>
            </w:pPr>
            <w:r>
              <w:rPr>
                <w:sz w:val="28"/>
                <w:szCs w:val="28"/>
              </w:rPr>
              <w:t>им. С.П. Кадышева»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11</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Творческие встречи с жителями сел Республики Хакасия, где проживал  и трудился Николай Доможаков</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апрель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муници-пальные образования Республики Хакасия</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Хакасская региональная общественная творческая организация «Союз писателей Хакасии»</w:t>
              <w:br/>
              <w:t>(по согласованию)</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12</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Проведение музейного праздника к 100-летию</w:t>
            </w:r>
          </w:p>
          <w:p>
            <w:pPr>
              <w:pStyle w:val="Style20"/>
              <w:spacing w:before="0" w:after="283"/>
              <w:jc w:val="both"/>
              <w:rPr>
                <w:rFonts w:ascii="Times New Roman" w:hAnsi="Times New Roman"/>
                <w:sz w:val="28"/>
                <w:szCs w:val="28"/>
              </w:rPr>
            </w:pPr>
            <w:r>
              <w:rPr>
                <w:sz w:val="28"/>
                <w:szCs w:val="28"/>
              </w:rPr>
              <w:t>Н.Г. Доможакова «В далеком аале» (в рамках акции «Ночь музеев»)</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14 мая</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Аскизский район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ГАУК РХ «Хакасский республиканский национальный музей заповедник»</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13</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Издание сборника стихов</w:t>
            </w:r>
          </w:p>
          <w:p>
            <w:pPr>
              <w:pStyle w:val="Style20"/>
              <w:spacing w:before="0" w:after="283"/>
              <w:jc w:val="both"/>
              <w:rPr>
                <w:rFonts w:ascii="Times New Roman" w:hAnsi="Times New Roman"/>
                <w:sz w:val="28"/>
                <w:szCs w:val="28"/>
              </w:rPr>
            </w:pPr>
            <w:r>
              <w:rPr>
                <w:sz w:val="28"/>
                <w:szCs w:val="28"/>
              </w:rPr>
              <w:t>Н.Г. Доможакова в звуковом формате</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июнь</w:t>
            </w:r>
          </w:p>
          <w:p>
            <w:pPr>
              <w:pStyle w:val="Style20"/>
              <w:spacing w:before="0" w:after="283"/>
              <w:jc w:val="both"/>
              <w:rPr>
                <w:rFonts w:ascii="Times New Roman" w:hAnsi="Times New Roman"/>
                <w:sz w:val="28"/>
                <w:szCs w:val="28"/>
              </w:rPr>
            </w:pPr>
            <w:r>
              <w:rPr>
                <w:sz w:val="28"/>
                <w:szCs w:val="28"/>
              </w:rPr>
              <w:t>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«Хакасская республиканская специальная библиотека для слепых»</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14</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Издание биобиблиографического справочника из серии «Биобиблиография «Николай Георгиевич Доможаков»</w:t>
              <w:br/>
              <w:t>(к 100-летию со дня рождения)»</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сентябрь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«Национальная библиотека им.</w:t>
            </w:r>
          </w:p>
          <w:p>
            <w:pPr>
              <w:pStyle w:val="Style20"/>
              <w:spacing w:before="0" w:after="283"/>
              <w:jc w:val="both"/>
              <w:rPr>
                <w:rFonts w:ascii="Times New Roman" w:hAnsi="Times New Roman"/>
                <w:sz w:val="28"/>
                <w:szCs w:val="28"/>
              </w:rPr>
            </w:pPr>
            <w:r>
              <w:rPr>
                <w:sz w:val="28"/>
                <w:szCs w:val="28"/>
              </w:rPr>
              <w:t>Н.Г. Доможакова»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15</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Межрегиональные Доможаковские чтения.</w:t>
            </w:r>
          </w:p>
          <w:p>
            <w:pPr>
              <w:pStyle w:val="Style20"/>
              <w:spacing w:before="0" w:after="283"/>
              <w:jc w:val="both"/>
              <w:rPr>
                <w:rFonts w:ascii="Times New Roman" w:hAnsi="Times New Roman"/>
                <w:sz w:val="28"/>
                <w:szCs w:val="28"/>
              </w:rPr>
            </w:pPr>
            <w:r>
              <w:rPr>
                <w:sz w:val="28"/>
                <w:szCs w:val="28"/>
              </w:rPr>
              <w:t>Издание материалов Доможаковских чтений</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сентябрь-октябрь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«Национальная библиотека им.  </w:t>
            </w:r>
          </w:p>
          <w:p>
            <w:pPr>
              <w:pStyle w:val="Style20"/>
              <w:spacing w:before="0" w:after="283"/>
              <w:jc w:val="both"/>
              <w:rPr>
                <w:rFonts w:ascii="Times New Roman" w:hAnsi="Times New Roman"/>
                <w:sz w:val="28"/>
                <w:szCs w:val="28"/>
              </w:rPr>
            </w:pPr>
            <w:r>
              <w:rPr>
                <w:sz w:val="28"/>
                <w:szCs w:val="28"/>
              </w:rPr>
              <w:t>Н.Г. Доможакова»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16</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Республиканский фестиваль «Ине тiлi»</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III квартал 2016 г.</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Министерство культуры Республики Хакасия совместно с заинтересованными министерствами</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17</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Цикл мероприятий «Год Н.Г.Доможакова в Национальной библиотеке»</w:t>
              <w:br/>
              <w:t>(к 100-летию со дня рождения 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 течение года</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«Национальная библиотека им. </w:t>
            </w:r>
          </w:p>
          <w:p>
            <w:pPr>
              <w:pStyle w:val="Style20"/>
              <w:spacing w:before="0" w:after="283"/>
              <w:jc w:val="both"/>
              <w:rPr>
                <w:rFonts w:ascii="Times New Roman" w:hAnsi="Times New Roman"/>
                <w:sz w:val="28"/>
                <w:szCs w:val="28"/>
              </w:rPr>
            </w:pPr>
            <w:r>
              <w:rPr>
                <w:sz w:val="28"/>
                <w:szCs w:val="28"/>
              </w:rPr>
              <w:t>Н.Г. Доможакова»</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18</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Передвижная планшетная выставка к 100-летию</w:t>
            </w:r>
          </w:p>
          <w:p>
            <w:pPr>
              <w:pStyle w:val="Style20"/>
              <w:spacing w:before="0" w:after="283"/>
              <w:jc w:val="both"/>
              <w:rPr>
                <w:rFonts w:ascii="Times New Roman" w:hAnsi="Times New Roman"/>
                <w:sz w:val="28"/>
                <w:szCs w:val="28"/>
              </w:rPr>
            </w:pPr>
            <w:r>
              <w:rPr>
                <w:sz w:val="28"/>
                <w:szCs w:val="28"/>
              </w:rPr>
              <w:t>Н.Г. Доможакова</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 течение года</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 Абакан, муници-пальные образования Республики Хакасия</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ГБУК РХ «Национальная библиотека им. </w:t>
            </w:r>
          </w:p>
          <w:p>
            <w:pPr>
              <w:pStyle w:val="Style20"/>
              <w:spacing w:before="0" w:after="283"/>
              <w:jc w:val="both"/>
              <w:rPr>
                <w:rFonts w:ascii="Times New Roman" w:hAnsi="Times New Roman"/>
                <w:sz w:val="28"/>
                <w:szCs w:val="28"/>
              </w:rPr>
            </w:pPr>
            <w:r>
              <w:rPr>
                <w:sz w:val="28"/>
                <w:szCs w:val="28"/>
              </w:rPr>
              <w:t>Н.Г. Доможакова»,  муниципальные библиотеки районов и городов Республики Хакасия</w:t>
            </w:r>
          </w:p>
        </w:tc>
      </w:tr>
      <w:tr>
        <w:trPr/>
        <w:tc>
          <w:tcPr>
            <w:tcW w:w="578" w:type="dxa"/>
            <w:tcBorders>
              <w:left w:val="single" w:sz="6" w:space="0" w:color="808080"/>
              <w:bottom w:val="single" w:sz="2" w:space="0" w:color="808080"/>
              <w:insideH w:val="single" w:sz="2"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19</w:t>
            </w:r>
          </w:p>
        </w:tc>
        <w:tc>
          <w:tcPr>
            <w:tcW w:w="2901"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Организация выставок, посвященных</w:t>
            </w:r>
          </w:p>
          <w:p>
            <w:pPr>
              <w:pStyle w:val="Style20"/>
              <w:spacing w:before="0" w:after="283"/>
              <w:jc w:val="both"/>
              <w:rPr>
                <w:rFonts w:ascii="Times New Roman" w:hAnsi="Times New Roman"/>
                <w:sz w:val="28"/>
                <w:szCs w:val="28"/>
              </w:rPr>
            </w:pPr>
            <w:r>
              <w:rPr>
                <w:sz w:val="28"/>
                <w:szCs w:val="28"/>
              </w:rPr>
              <w:t>Н.Г. Доможакову и его творчеству</w:t>
            </w:r>
          </w:p>
        </w:tc>
        <w:tc>
          <w:tcPr>
            <w:tcW w:w="1935"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 течение года</w:t>
            </w:r>
          </w:p>
        </w:tc>
        <w:tc>
          <w:tcPr>
            <w:tcW w:w="1908" w:type="dxa"/>
            <w:tcBorders>
              <w:left w:val="single" w:sz="2" w:space="0" w:color="808080"/>
              <w:bottom w:val="single" w:sz="2" w:space="0" w:color="808080"/>
              <w:insideH w:val="single" w:sz="2"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муници-пальные образования Республики Хакасия</w:t>
            </w:r>
          </w:p>
        </w:tc>
        <w:tc>
          <w:tcPr>
            <w:tcW w:w="231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Муниципальные библиотеки, клубно-досуговые учреждения</w:t>
              <w:br/>
              <w:t>(по согласованию)</w:t>
            </w:r>
          </w:p>
        </w:tc>
      </w:tr>
      <w:tr>
        <w:trPr/>
        <w:tc>
          <w:tcPr>
            <w:tcW w:w="578" w:type="dxa"/>
            <w:tcBorders>
              <w:left w:val="single" w:sz="6" w:space="0" w:color="808080"/>
              <w:bottom w:val="single" w:sz="6" w:space="0" w:color="808080"/>
              <w:insideH w:val="single" w:sz="6" w:space="0" w:color="808080"/>
            </w:tcBorders>
            <w:shd w:fill="auto" w:val="clear"/>
            <w:tcMar>
              <w:left w:w="20" w:type="dxa"/>
            </w:tcMar>
            <w:vAlign w:val="center"/>
          </w:tcPr>
          <w:p>
            <w:pPr>
              <w:pStyle w:val="Style20"/>
              <w:spacing w:before="0" w:after="283"/>
              <w:jc w:val="both"/>
              <w:rPr>
                <w:rFonts w:ascii="Times New Roman" w:hAnsi="Times New Roman"/>
                <w:sz w:val="28"/>
                <w:szCs w:val="28"/>
              </w:rPr>
            </w:pPr>
            <w:r>
              <w:rPr>
                <w:sz w:val="28"/>
                <w:szCs w:val="28"/>
              </w:rPr>
              <w:t>20</w:t>
            </w:r>
          </w:p>
        </w:tc>
        <w:tc>
          <w:tcPr>
            <w:tcW w:w="2901" w:type="dxa"/>
            <w:tcBorders>
              <w:left w:val="single" w:sz="2" w:space="0" w:color="808080"/>
              <w:bottom w:val="single" w:sz="6" w:space="0" w:color="808080"/>
              <w:insideH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Проведение творческих и тематических мероприятий (музейных и краеведческих  уроков, литературных гостиных и др.), посвященных Н.Г. Доможакову и его наследию</w:t>
            </w:r>
          </w:p>
        </w:tc>
        <w:tc>
          <w:tcPr>
            <w:tcW w:w="1935" w:type="dxa"/>
            <w:tcBorders>
              <w:left w:val="single" w:sz="2" w:space="0" w:color="808080"/>
              <w:bottom w:val="single" w:sz="6" w:space="0" w:color="808080"/>
              <w:insideH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в течение года</w:t>
            </w:r>
          </w:p>
        </w:tc>
        <w:tc>
          <w:tcPr>
            <w:tcW w:w="1908" w:type="dxa"/>
            <w:tcBorders>
              <w:left w:val="single" w:sz="2" w:space="0" w:color="808080"/>
              <w:bottom w:val="single" w:sz="6" w:space="0" w:color="808080"/>
              <w:insideH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муници-пальные образования Республики Хакасия</w:t>
            </w:r>
          </w:p>
        </w:tc>
        <w:tc>
          <w:tcPr>
            <w:tcW w:w="2316"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Style20"/>
              <w:spacing w:before="0" w:after="283"/>
              <w:jc w:val="both"/>
              <w:rPr>
                <w:rFonts w:ascii="Times New Roman" w:hAnsi="Times New Roman"/>
                <w:sz w:val="28"/>
                <w:szCs w:val="28"/>
              </w:rPr>
            </w:pPr>
            <w:r>
              <w:rPr>
                <w:sz w:val="28"/>
                <w:szCs w:val="28"/>
              </w:rPr>
              <w:t>Муниципальные библиотеки, музеи, клубно-досуговые учреждения</w:t>
              <w:br/>
              <w:t>(по согласованию)</w:t>
            </w:r>
          </w:p>
        </w:tc>
      </w:tr>
    </w:tbl>
    <w:p>
      <w:pPr>
        <w:pStyle w:val="Style16"/>
        <w:widowControl/>
        <w:spacing w:before="0" w:after="120"/>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6</Pages>
  <Words>874</Words>
  <Characters>6037</Characters>
  <CharactersWithSpaces>6903</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2016-09-15T04:33:19Z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