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86"/>
        <w:gridCol w:w="3158"/>
        <w:gridCol w:w="5894"/>
      </w:tblGrid>
      <w:tr>
        <w:trPr/>
        <w:tc>
          <w:tcPr>
            <w:tcW w:w="5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5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отчёта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Таштыпского района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обязательных требований законодательства об архивном деле в Российской Федерации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(дата, номер приказа)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культуры Республики Хакасия от 19.02.2015 № 36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 (плановая, внеплановая)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проверки (документарная, выездная, документарная и выездная)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(период) проведения проверки по приказу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19.05.2015 по 15.06.2015,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рабочих дней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комиссии, всего: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экспертов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привлекались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п.п.2.11.2.3, 2.11.4.2, 2.11.4.1, 2.11.5, абз.13 п.2.11.3, 3.2.1, 3.5.6, 3.5.7, 3.6, 3.7.2, 4.2.2, 4.2.3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утв. приказом Минкультуры Российской Федерации от 18.01.2007 № 19 (с послед. изменен.);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3. приказа Росархива от 11.03.1997 № 11 «Об утверждении Регламента государственного учета документов Архивного фонда Российской Федерации»;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п.п.1.2, 2.2, 2.3, 2.6, 2.8.1. Временного порядка автоматизированного государственного учета документов Архивного фонда Российской Федерации, хранящихся в государственных и муниципальных архивах, утв. приказом Росархива от 23.10.2000 № 64;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п.2.4. Регламента государственного учета документов Архивного фонда Российской Федерации, утв. приказом Росархива от 11.03.1997 № 11;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 приказа Росархива от 17.11.1997 № 61 «О введении в действие Инструкции о порядке заполнения паспорта архива»;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п.п.2.1.7–2.1.10, 2.1.26-2.1.30 Основных правил работы ведомственных архивов;</w:t>
            </w:r>
          </w:p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п.1. приказа Министерства 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реагирования, принятые министерством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предписание об устранении выявленных нарушений от 15.06.2015 №4</w:t>
            </w:r>
          </w:p>
        </w:tc>
      </w:tr>
      <w:tr>
        <w:trPr/>
        <w:tc>
          <w:tcPr>
            <w:tcW w:w="586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58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устранения нарушений</w:t>
            </w:r>
          </w:p>
        </w:tc>
        <w:tc>
          <w:tcPr>
            <w:tcW w:w="58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01.12.2015, 22.01.2016, 02.02.2016, 01.06.2016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284</Words>
  <Characters>2058</Characters>
  <CharactersWithSpaces>2295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2016-09-24T02:35:21Z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